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様式第３号（第６条関係）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収支予算書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収入の部</w:t>
      </w:r>
    </w:p>
    <w:tbl>
      <w:tblPr>
        <w:tblStyle w:val="11"/>
        <w:tblW w:w="0" w:type="auto"/>
        <w:tblInd w:w="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335"/>
        <w:gridCol w:w="1840"/>
        <w:gridCol w:w="3105"/>
      </w:tblGrid>
      <w:tr>
        <w:trPr>
          <w:trHeight w:val="78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内訳等</w:t>
            </w: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会費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事業収入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市民等主催冠事業支援補助金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寄附金その他の収入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支出の部</w:t>
      </w:r>
    </w:p>
    <w:tbl>
      <w:tblPr>
        <w:tblStyle w:val="11"/>
        <w:tblW w:w="0" w:type="auto"/>
        <w:tblInd w:w="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335"/>
        <w:gridCol w:w="1840"/>
        <w:gridCol w:w="3105"/>
      </w:tblGrid>
      <w:tr>
        <w:trPr>
          <w:trHeight w:val="78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項目（項目の説明）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内訳等</w:t>
            </w: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報償費（講師謝礼等）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旅費（交通費等、通行料等）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需用費（消耗品費、食糧費、光熱水費、印刷費等）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役務費（郵送料、通信料、保険料等）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委託料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使用料等（会場使用料、物品レンタル料等）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原材料費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6089</TotalTime>
  <Pages>1</Pages>
  <Words>0</Words>
  <Characters>186</Characters>
  <Application>JUST Note</Application>
  <Lines>61</Lines>
  <Paragraphs>25</Paragraphs>
  <Company>Microsoft</Company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Administrator</cp:lastModifiedBy>
  <cp:lastPrinted>2022-03-29T02:18:00Z</cp:lastPrinted>
  <dcterms:created xsi:type="dcterms:W3CDTF">2015-12-21T06:47:00Z</dcterms:created>
  <dcterms:modified xsi:type="dcterms:W3CDTF">2024-12-17T08:36:03Z</dcterms:modified>
  <cp:revision>681</cp:revision>
</cp:coreProperties>
</file>